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0F" w:rsidRPr="00855A76" w:rsidRDefault="00A273EC" w:rsidP="00CE1381">
      <w:pPr>
        <w:jc w:val="center"/>
        <w:rPr>
          <w:rFonts w:cstheme="minorHAnsi"/>
          <w:b/>
          <w:sz w:val="28"/>
          <w:szCs w:val="28"/>
        </w:rPr>
      </w:pPr>
      <w:r w:rsidRPr="00855A76">
        <w:rPr>
          <w:rFonts w:cstheme="minorHAnsi"/>
          <w:b/>
          <w:sz w:val="28"/>
          <w:szCs w:val="28"/>
        </w:rPr>
        <w:t>Info</w:t>
      </w:r>
      <w:r w:rsidR="00855A76">
        <w:rPr>
          <w:rFonts w:cstheme="minorHAnsi"/>
          <w:b/>
          <w:sz w:val="28"/>
          <w:szCs w:val="28"/>
        </w:rPr>
        <w:t>rmacja dodatkowa do sprawozdań finansowych</w:t>
      </w:r>
    </w:p>
    <w:p w:rsidR="00A273EC" w:rsidRDefault="00A273EC" w:rsidP="00537DA5">
      <w:pPr>
        <w:jc w:val="center"/>
        <w:rPr>
          <w:rFonts w:cstheme="minorHAnsi"/>
          <w:b/>
          <w:sz w:val="28"/>
          <w:szCs w:val="28"/>
        </w:rPr>
      </w:pPr>
      <w:r w:rsidRPr="00855A76">
        <w:rPr>
          <w:rFonts w:cstheme="minorHAnsi"/>
          <w:b/>
          <w:sz w:val="28"/>
          <w:szCs w:val="28"/>
        </w:rPr>
        <w:t>I Liceum</w:t>
      </w:r>
      <w:r w:rsidR="00B62575" w:rsidRPr="00855A76">
        <w:rPr>
          <w:rFonts w:cstheme="minorHAnsi"/>
          <w:b/>
          <w:sz w:val="28"/>
          <w:szCs w:val="28"/>
        </w:rPr>
        <w:t xml:space="preserve"> O</w:t>
      </w:r>
      <w:r w:rsidR="00E5342E" w:rsidRPr="00855A76">
        <w:rPr>
          <w:rFonts w:cstheme="minorHAnsi"/>
          <w:b/>
          <w:sz w:val="28"/>
          <w:szCs w:val="28"/>
        </w:rPr>
        <w:t>gólnokształcące</w:t>
      </w:r>
      <w:r w:rsidRPr="00855A76">
        <w:rPr>
          <w:rFonts w:cstheme="minorHAnsi"/>
          <w:b/>
          <w:sz w:val="28"/>
          <w:szCs w:val="28"/>
        </w:rPr>
        <w:t xml:space="preserve"> im. T</w:t>
      </w:r>
      <w:r w:rsidR="00E5342E" w:rsidRPr="00855A76">
        <w:rPr>
          <w:rFonts w:cstheme="minorHAnsi"/>
          <w:b/>
          <w:sz w:val="28"/>
          <w:szCs w:val="28"/>
        </w:rPr>
        <w:t>adeusza</w:t>
      </w:r>
      <w:r w:rsidRPr="00855A76">
        <w:rPr>
          <w:rFonts w:cstheme="minorHAnsi"/>
          <w:b/>
          <w:sz w:val="28"/>
          <w:szCs w:val="28"/>
        </w:rPr>
        <w:t>. Kościuszki w Koninie</w:t>
      </w:r>
    </w:p>
    <w:p w:rsidR="00855A76" w:rsidRPr="00855A76" w:rsidRDefault="00855A76" w:rsidP="00537DA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 201</w:t>
      </w:r>
      <w:r w:rsidR="00814DC4">
        <w:rPr>
          <w:rFonts w:cstheme="minorHAnsi"/>
          <w:b/>
          <w:sz w:val="28"/>
          <w:szCs w:val="28"/>
        </w:rPr>
        <w:t>8</w:t>
      </w:r>
      <w:r>
        <w:rPr>
          <w:rFonts w:cstheme="minorHAnsi"/>
          <w:b/>
          <w:sz w:val="28"/>
          <w:szCs w:val="28"/>
        </w:rPr>
        <w:t xml:space="preserve"> rok</w:t>
      </w:r>
    </w:p>
    <w:p w:rsidR="000F2C0A" w:rsidRPr="00F5796A" w:rsidRDefault="000F2C0A" w:rsidP="00537DA5">
      <w:pPr>
        <w:jc w:val="center"/>
        <w:rPr>
          <w:rFonts w:cstheme="minorHAnsi"/>
          <w:b/>
          <w:sz w:val="24"/>
          <w:szCs w:val="24"/>
        </w:rPr>
      </w:pPr>
    </w:p>
    <w:p w:rsidR="001C4220" w:rsidRPr="00F5796A" w:rsidRDefault="001C4220" w:rsidP="00904EE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5796A">
        <w:rPr>
          <w:rFonts w:cstheme="minorHAnsi"/>
          <w:b/>
          <w:sz w:val="24"/>
          <w:szCs w:val="24"/>
        </w:rPr>
        <w:t>I Wprowadzenie do sprawozdania finansowego</w:t>
      </w:r>
    </w:p>
    <w:p w:rsidR="00D3079D" w:rsidRPr="004548BE" w:rsidRDefault="00D3079D" w:rsidP="00904E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6A">
        <w:rPr>
          <w:rFonts w:cstheme="minorHAnsi"/>
          <w:sz w:val="24"/>
          <w:szCs w:val="24"/>
        </w:rPr>
        <w:t xml:space="preserve">I Liceum </w:t>
      </w:r>
      <w:r w:rsidR="00E5342E">
        <w:rPr>
          <w:rFonts w:cstheme="minorHAnsi"/>
          <w:sz w:val="24"/>
          <w:szCs w:val="24"/>
        </w:rPr>
        <w:t>Ogólnokształcące im. Tadeusza</w:t>
      </w:r>
      <w:r w:rsidRPr="00F5796A">
        <w:rPr>
          <w:rFonts w:cstheme="minorHAnsi"/>
          <w:sz w:val="24"/>
          <w:szCs w:val="24"/>
        </w:rPr>
        <w:t xml:space="preserve"> Kościuszki z siedzibą w Koninie przy ulicy Mickiew</w:t>
      </w:r>
      <w:r w:rsidRPr="004548BE">
        <w:rPr>
          <w:rFonts w:ascii="Times New Roman" w:hAnsi="Times New Roman" w:cs="Times New Roman"/>
          <w:sz w:val="24"/>
          <w:szCs w:val="24"/>
        </w:rPr>
        <w:t>icza 14 jest szkołą publiczną realizującą swoje cele i zadania, jako jednostka budżetowa.</w:t>
      </w:r>
    </w:p>
    <w:p w:rsidR="00D3079D" w:rsidRPr="004548BE" w:rsidRDefault="00574CD6" w:rsidP="00904E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Uchwałą  Nr</w:t>
      </w:r>
      <w:r w:rsidR="00E5342E" w:rsidRPr="004548BE">
        <w:rPr>
          <w:rFonts w:ascii="Times New Roman" w:hAnsi="Times New Roman" w:cs="Times New Roman"/>
          <w:sz w:val="24"/>
          <w:szCs w:val="24"/>
        </w:rPr>
        <w:t xml:space="preserve"> 789 Rady Miasta Konina z dnia 30 kwietnia 2014 roku zmieniono nazwę</w:t>
      </w:r>
      <w:r w:rsidRPr="004548BE">
        <w:rPr>
          <w:rFonts w:ascii="Times New Roman" w:hAnsi="Times New Roman" w:cs="Times New Roman"/>
          <w:sz w:val="24"/>
          <w:szCs w:val="24"/>
        </w:rPr>
        <w:t xml:space="preserve"> szkoły</w:t>
      </w:r>
      <w:r w:rsidR="00E5342E" w:rsidRPr="004548BE">
        <w:rPr>
          <w:rFonts w:ascii="Times New Roman" w:hAnsi="Times New Roman" w:cs="Times New Roman"/>
          <w:sz w:val="24"/>
          <w:szCs w:val="24"/>
        </w:rPr>
        <w:t xml:space="preserve"> </w:t>
      </w:r>
      <w:r w:rsidRPr="004548BE">
        <w:rPr>
          <w:rFonts w:ascii="Times New Roman" w:hAnsi="Times New Roman" w:cs="Times New Roman"/>
          <w:sz w:val="24"/>
          <w:szCs w:val="24"/>
        </w:rPr>
        <w:t>z "I Liceum im. T. Kościuszki"</w:t>
      </w:r>
      <w:r w:rsidR="00E5342E" w:rsidRPr="004548BE">
        <w:rPr>
          <w:rFonts w:ascii="Times New Roman" w:hAnsi="Times New Roman" w:cs="Times New Roman"/>
          <w:sz w:val="24"/>
          <w:szCs w:val="24"/>
        </w:rPr>
        <w:t xml:space="preserve"> na" I Liceu</w:t>
      </w:r>
      <w:r w:rsidRPr="004548BE">
        <w:rPr>
          <w:rFonts w:ascii="Times New Roman" w:hAnsi="Times New Roman" w:cs="Times New Roman"/>
          <w:sz w:val="24"/>
          <w:szCs w:val="24"/>
        </w:rPr>
        <w:t xml:space="preserve">m Ogólnokształcące im. Tadeusza </w:t>
      </w:r>
      <w:r w:rsidR="00E5342E" w:rsidRPr="004548BE">
        <w:rPr>
          <w:rFonts w:ascii="Times New Roman" w:hAnsi="Times New Roman" w:cs="Times New Roman"/>
          <w:sz w:val="24"/>
          <w:szCs w:val="24"/>
        </w:rPr>
        <w:t>Kościuszki"</w:t>
      </w:r>
    </w:p>
    <w:p w:rsidR="00C94937" w:rsidRPr="004548BE" w:rsidRDefault="00C94937" w:rsidP="00904E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I Liceum</w:t>
      </w:r>
      <w:r w:rsidR="00E5342E" w:rsidRPr="004548BE">
        <w:rPr>
          <w:rFonts w:ascii="Times New Roman" w:hAnsi="Times New Roman" w:cs="Times New Roman"/>
          <w:sz w:val="24"/>
          <w:szCs w:val="24"/>
        </w:rPr>
        <w:t xml:space="preserve"> Ogólnokształcące</w:t>
      </w:r>
      <w:r w:rsidRPr="004548BE">
        <w:rPr>
          <w:rFonts w:ascii="Times New Roman" w:hAnsi="Times New Roman" w:cs="Times New Roman"/>
          <w:sz w:val="24"/>
          <w:szCs w:val="24"/>
        </w:rPr>
        <w:t xml:space="preserve"> im. T</w:t>
      </w:r>
      <w:r w:rsidR="00E5342E" w:rsidRPr="004548BE">
        <w:rPr>
          <w:rFonts w:ascii="Times New Roman" w:hAnsi="Times New Roman" w:cs="Times New Roman"/>
          <w:sz w:val="24"/>
          <w:szCs w:val="24"/>
        </w:rPr>
        <w:t>adeusza</w:t>
      </w:r>
      <w:r w:rsidRPr="004548BE">
        <w:rPr>
          <w:rFonts w:ascii="Times New Roman" w:hAnsi="Times New Roman" w:cs="Times New Roman"/>
          <w:sz w:val="24"/>
          <w:szCs w:val="24"/>
        </w:rPr>
        <w:t xml:space="preserve"> Kościuszki w Koninie jako jednostka organizacyjna nie mająca osobowości prawnej posiada:</w:t>
      </w:r>
    </w:p>
    <w:p w:rsidR="00E5342E" w:rsidRPr="004548BE" w:rsidRDefault="00C94937" w:rsidP="00904E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 xml:space="preserve">- numer identyfikacyjny </w:t>
      </w:r>
      <w:r w:rsidRPr="004548BE">
        <w:rPr>
          <w:rFonts w:ascii="Times New Roman" w:hAnsi="Times New Roman" w:cs="Times New Roman"/>
          <w:b/>
          <w:sz w:val="24"/>
          <w:szCs w:val="24"/>
        </w:rPr>
        <w:t>REGON: 000237601</w:t>
      </w:r>
      <w:r w:rsidRPr="004548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342E" w:rsidRPr="004548BE" w:rsidRDefault="00C94937" w:rsidP="00E534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 xml:space="preserve">- numer identyfikacji podatkowej </w:t>
      </w:r>
      <w:r w:rsidRPr="004548BE">
        <w:rPr>
          <w:rFonts w:ascii="Times New Roman" w:hAnsi="Times New Roman" w:cs="Times New Roman"/>
          <w:b/>
          <w:sz w:val="24"/>
          <w:szCs w:val="24"/>
        </w:rPr>
        <w:t>NIP 665-10-87-407</w:t>
      </w:r>
      <w:r w:rsidRPr="004548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2A8B" w:rsidRPr="004548BE" w:rsidRDefault="00B82A8B" w:rsidP="00E534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Organem prowadzącym szkołę jest Urząd Miasta Konina.</w:t>
      </w:r>
    </w:p>
    <w:p w:rsidR="00B82A8B" w:rsidRPr="004548BE" w:rsidRDefault="00B82A8B" w:rsidP="00904E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Organem sprawującym nadzór pedagogiczny jest</w:t>
      </w:r>
      <w:r w:rsidR="000E1D14" w:rsidRPr="004548BE">
        <w:rPr>
          <w:rFonts w:ascii="Times New Roman" w:hAnsi="Times New Roman" w:cs="Times New Roman"/>
          <w:sz w:val="24"/>
          <w:szCs w:val="24"/>
        </w:rPr>
        <w:t xml:space="preserve"> Kuratorium Oświaty w Poznaniu.</w:t>
      </w:r>
    </w:p>
    <w:p w:rsidR="00C849B5" w:rsidRPr="004548BE" w:rsidRDefault="003E1CF6" w:rsidP="00904E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Sprawozdanie finansowe sporządzone zostało na podstawie ksiąg rachunkowych</w:t>
      </w:r>
      <w:r w:rsidR="000803B8" w:rsidRPr="004548BE">
        <w:rPr>
          <w:rFonts w:ascii="Times New Roman" w:hAnsi="Times New Roman" w:cs="Times New Roman"/>
          <w:sz w:val="24"/>
          <w:szCs w:val="24"/>
        </w:rPr>
        <w:t xml:space="preserve"> </w:t>
      </w:r>
      <w:r w:rsidRPr="004548BE">
        <w:rPr>
          <w:rFonts w:ascii="Times New Roman" w:hAnsi="Times New Roman" w:cs="Times New Roman"/>
          <w:sz w:val="24"/>
          <w:szCs w:val="24"/>
        </w:rPr>
        <w:t>prowadzonych zgodnie z dokumentacją przyjętych zasad</w:t>
      </w:r>
      <w:r w:rsidR="0061500D" w:rsidRPr="004548BE">
        <w:rPr>
          <w:rFonts w:ascii="Times New Roman" w:hAnsi="Times New Roman" w:cs="Times New Roman"/>
          <w:sz w:val="24"/>
          <w:szCs w:val="24"/>
        </w:rPr>
        <w:t xml:space="preserve"> (polityki)</w:t>
      </w:r>
      <w:r w:rsidRPr="004548BE">
        <w:rPr>
          <w:rFonts w:ascii="Times New Roman" w:hAnsi="Times New Roman" w:cs="Times New Roman"/>
          <w:sz w:val="24"/>
          <w:szCs w:val="24"/>
        </w:rPr>
        <w:t xml:space="preserve"> rachunkowości wprowadzonych do stosowania Zarządzeniem nr </w:t>
      </w:r>
      <w:r w:rsidR="00814DC4" w:rsidRPr="004548BE">
        <w:rPr>
          <w:rFonts w:ascii="Times New Roman" w:hAnsi="Times New Roman" w:cs="Times New Roman"/>
          <w:sz w:val="24"/>
          <w:szCs w:val="24"/>
        </w:rPr>
        <w:t>16/2017/2018</w:t>
      </w:r>
      <w:r w:rsidRPr="004548BE">
        <w:rPr>
          <w:rFonts w:ascii="Times New Roman" w:hAnsi="Times New Roman" w:cs="Times New Roman"/>
          <w:sz w:val="24"/>
          <w:szCs w:val="24"/>
        </w:rPr>
        <w:t xml:space="preserve"> Dyrektora I Liceu</w:t>
      </w:r>
      <w:r w:rsidR="000803B8" w:rsidRPr="004548BE">
        <w:rPr>
          <w:rFonts w:ascii="Times New Roman" w:hAnsi="Times New Roman" w:cs="Times New Roman"/>
          <w:sz w:val="24"/>
          <w:szCs w:val="24"/>
        </w:rPr>
        <w:t xml:space="preserve">m </w:t>
      </w:r>
      <w:r w:rsidR="00C849B5" w:rsidRPr="004548BE">
        <w:rPr>
          <w:rFonts w:ascii="Times New Roman" w:hAnsi="Times New Roman" w:cs="Times New Roman"/>
          <w:sz w:val="24"/>
          <w:szCs w:val="24"/>
        </w:rPr>
        <w:t xml:space="preserve">Ogólnokształcącego im. </w:t>
      </w:r>
      <w:r w:rsidR="000803B8" w:rsidRPr="004548BE">
        <w:rPr>
          <w:rFonts w:ascii="Times New Roman" w:hAnsi="Times New Roman" w:cs="Times New Roman"/>
          <w:sz w:val="24"/>
          <w:szCs w:val="24"/>
        </w:rPr>
        <w:t>T. Kościuszki w Koninie z</w:t>
      </w:r>
      <w:r w:rsidRPr="004548BE">
        <w:rPr>
          <w:rFonts w:ascii="Times New Roman" w:hAnsi="Times New Roman" w:cs="Times New Roman"/>
          <w:sz w:val="24"/>
          <w:szCs w:val="24"/>
        </w:rPr>
        <w:t xml:space="preserve"> dnia </w:t>
      </w:r>
      <w:r w:rsidR="00814DC4" w:rsidRPr="004548BE">
        <w:rPr>
          <w:rFonts w:ascii="Times New Roman" w:hAnsi="Times New Roman" w:cs="Times New Roman"/>
          <w:sz w:val="24"/>
          <w:szCs w:val="24"/>
        </w:rPr>
        <w:t>27</w:t>
      </w:r>
      <w:r w:rsidR="00C849B5" w:rsidRPr="004548BE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814DC4" w:rsidRPr="004548BE">
        <w:rPr>
          <w:rFonts w:ascii="Times New Roman" w:hAnsi="Times New Roman" w:cs="Times New Roman"/>
          <w:sz w:val="24"/>
          <w:szCs w:val="24"/>
        </w:rPr>
        <w:t>7</w:t>
      </w:r>
      <w:r w:rsidR="00C849B5" w:rsidRPr="004548BE">
        <w:rPr>
          <w:rFonts w:ascii="Times New Roman" w:hAnsi="Times New Roman" w:cs="Times New Roman"/>
          <w:sz w:val="24"/>
          <w:szCs w:val="24"/>
        </w:rPr>
        <w:t xml:space="preserve"> </w:t>
      </w:r>
      <w:r w:rsidRPr="004548BE">
        <w:rPr>
          <w:rFonts w:ascii="Times New Roman" w:hAnsi="Times New Roman" w:cs="Times New Roman"/>
          <w:sz w:val="24"/>
          <w:szCs w:val="24"/>
        </w:rPr>
        <w:t>r.</w:t>
      </w:r>
      <w:r w:rsidR="006C63F0" w:rsidRPr="00454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A9B" w:rsidRPr="004548BE" w:rsidRDefault="00150A9B" w:rsidP="00904E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Integralną część</w:t>
      </w:r>
      <w:r w:rsidR="0061500D" w:rsidRPr="004548BE">
        <w:rPr>
          <w:rFonts w:ascii="Times New Roman" w:hAnsi="Times New Roman" w:cs="Times New Roman"/>
          <w:sz w:val="24"/>
          <w:szCs w:val="24"/>
        </w:rPr>
        <w:t xml:space="preserve"> zasad (polityki) rachunkowości</w:t>
      </w:r>
      <w:r w:rsidRPr="004548BE">
        <w:rPr>
          <w:rFonts w:ascii="Times New Roman" w:hAnsi="Times New Roman" w:cs="Times New Roman"/>
          <w:sz w:val="24"/>
          <w:szCs w:val="24"/>
        </w:rPr>
        <w:t xml:space="preserve"> stanowią załączniki:</w:t>
      </w:r>
    </w:p>
    <w:p w:rsidR="00150A9B" w:rsidRPr="004548BE" w:rsidRDefault="00150A9B" w:rsidP="00904E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- opis metod wyceny aktywów i pasywów, zasady ewidencji zdarzeń i ustalania wyniku finansowego,</w:t>
      </w:r>
    </w:p>
    <w:p w:rsidR="00150A9B" w:rsidRPr="004548BE" w:rsidRDefault="00150A9B" w:rsidP="00904E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 xml:space="preserve">- zasady prowadzenia ksiąg rachunkowych, w tym określenie roku obrotowego </w:t>
      </w:r>
      <w:r w:rsidRPr="004548BE">
        <w:rPr>
          <w:rFonts w:ascii="Times New Roman" w:hAnsi="Times New Roman" w:cs="Times New Roman"/>
          <w:sz w:val="24"/>
          <w:szCs w:val="24"/>
        </w:rPr>
        <w:br/>
        <w:t>i wchodzących w jego skład okresów sprawozdawczych,</w:t>
      </w:r>
    </w:p>
    <w:p w:rsidR="00150A9B" w:rsidRPr="004548BE" w:rsidRDefault="00150A9B" w:rsidP="00904E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- zakładowy plan kont,</w:t>
      </w:r>
    </w:p>
    <w:p w:rsidR="00150A9B" w:rsidRPr="004548BE" w:rsidRDefault="00150A9B" w:rsidP="00904E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- zasady prowadzenia ksiąg pomocniczych oraz ich powiązania z kontami księgi głównej,</w:t>
      </w:r>
    </w:p>
    <w:p w:rsidR="00150A9B" w:rsidRPr="004548BE" w:rsidRDefault="00150A9B" w:rsidP="00904E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- zasady funkcjonowania kont,</w:t>
      </w:r>
    </w:p>
    <w:p w:rsidR="00150A9B" w:rsidRPr="004548BE" w:rsidRDefault="00150A9B" w:rsidP="00904E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- zasady operacji na kontach,</w:t>
      </w:r>
    </w:p>
    <w:p w:rsidR="00150A9B" w:rsidRPr="004548BE" w:rsidRDefault="00150A9B" w:rsidP="00904E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lastRenderedPageBreak/>
        <w:t>- zasady klasyfikacji budżetowej zdarzeń,</w:t>
      </w:r>
    </w:p>
    <w:p w:rsidR="00150A9B" w:rsidRPr="004548BE" w:rsidRDefault="00150A9B" w:rsidP="00904E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- wykaz zbiorów danych tworzących księgi rachunkowe na komputerowych nośnikach danych,</w:t>
      </w:r>
    </w:p>
    <w:p w:rsidR="007E0D5E" w:rsidRPr="004548BE" w:rsidRDefault="00150A9B" w:rsidP="00904E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 xml:space="preserve">- opis systemu przetwarzania danych – systemu informatycznego zawierającego wykaz programów, procedur lub funkcji </w:t>
      </w:r>
      <w:r w:rsidR="00E153BB" w:rsidRPr="004548BE">
        <w:rPr>
          <w:rFonts w:ascii="Times New Roman" w:hAnsi="Times New Roman" w:cs="Times New Roman"/>
          <w:sz w:val="24"/>
          <w:szCs w:val="24"/>
        </w:rPr>
        <w:t xml:space="preserve">wraz z opisem algorytmów </w:t>
      </w:r>
      <w:r w:rsidR="007E0D5E" w:rsidRPr="004548BE">
        <w:rPr>
          <w:rFonts w:ascii="Times New Roman" w:hAnsi="Times New Roman" w:cs="Times New Roman"/>
          <w:sz w:val="24"/>
          <w:szCs w:val="24"/>
        </w:rPr>
        <w:t xml:space="preserve">i parametrów oraz programów zasad ochrony danych, w tym metod zabezpieczenia dostępu </w:t>
      </w:r>
      <w:r w:rsidR="00671207" w:rsidRPr="004548BE">
        <w:rPr>
          <w:rFonts w:ascii="Times New Roman" w:hAnsi="Times New Roman" w:cs="Times New Roman"/>
          <w:sz w:val="24"/>
          <w:szCs w:val="24"/>
        </w:rPr>
        <w:br/>
      </w:r>
      <w:r w:rsidR="007E0D5E" w:rsidRPr="004548BE">
        <w:rPr>
          <w:rFonts w:ascii="Times New Roman" w:hAnsi="Times New Roman" w:cs="Times New Roman"/>
          <w:sz w:val="24"/>
          <w:szCs w:val="24"/>
        </w:rPr>
        <w:t>do danych i systemu ich przetwarzania oraz daty rozpoczęcia eksploatacji,</w:t>
      </w:r>
    </w:p>
    <w:p w:rsidR="00CA63D7" w:rsidRPr="004548BE" w:rsidRDefault="007E0D5E" w:rsidP="00904E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- opis systemu służącego ochronie danych w tym: dowodów księgowych, ksiąg rachunkowych i innych dokumentów</w:t>
      </w:r>
      <w:r w:rsidR="00CA63D7" w:rsidRPr="004548BE">
        <w:rPr>
          <w:rFonts w:ascii="Times New Roman" w:hAnsi="Times New Roman" w:cs="Times New Roman"/>
          <w:sz w:val="24"/>
          <w:szCs w:val="24"/>
        </w:rPr>
        <w:t xml:space="preserve"> stanowiących podstawę dokonanych w nich zapisów.</w:t>
      </w:r>
    </w:p>
    <w:p w:rsidR="00564E94" w:rsidRPr="004548BE" w:rsidRDefault="00C87A46" w:rsidP="00904E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Sprawozdanie</w:t>
      </w:r>
      <w:r w:rsidR="00CA63D7" w:rsidRPr="004548BE">
        <w:rPr>
          <w:rFonts w:ascii="Times New Roman" w:hAnsi="Times New Roman" w:cs="Times New Roman"/>
          <w:sz w:val="24"/>
          <w:szCs w:val="24"/>
        </w:rPr>
        <w:t xml:space="preserve"> finansowe </w:t>
      </w:r>
      <w:r w:rsidR="000E1D14" w:rsidRPr="004548BE">
        <w:rPr>
          <w:rFonts w:ascii="Times New Roman" w:hAnsi="Times New Roman" w:cs="Times New Roman"/>
          <w:sz w:val="24"/>
          <w:szCs w:val="24"/>
        </w:rPr>
        <w:t>zawiera</w:t>
      </w:r>
      <w:r w:rsidRPr="004548BE">
        <w:rPr>
          <w:rFonts w:ascii="Times New Roman" w:hAnsi="Times New Roman" w:cs="Times New Roman"/>
          <w:sz w:val="24"/>
          <w:szCs w:val="24"/>
        </w:rPr>
        <w:t>:</w:t>
      </w:r>
    </w:p>
    <w:p w:rsidR="00564E94" w:rsidRPr="004548BE" w:rsidRDefault="00564E94" w:rsidP="00904E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-</w:t>
      </w:r>
      <w:r w:rsidR="00CA63D7" w:rsidRPr="004548BE">
        <w:rPr>
          <w:rFonts w:ascii="Times New Roman" w:hAnsi="Times New Roman" w:cs="Times New Roman"/>
          <w:sz w:val="24"/>
          <w:szCs w:val="24"/>
        </w:rPr>
        <w:t xml:space="preserve"> bilans, </w:t>
      </w:r>
    </w:p>
    <w:p w:rsidR="00564E94" w:rsidRPr="004548BE" w:rsidRDefault="00564E94" w:rsidP="00904E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-</w:t>
      </w:r>
      <w:r w:rsidR="000F2C0A" w:rsidRPr="004548BE">
        <w:rPr>
          <w:rFonts w:ascii="Times New Roman" w:hAnsi="Times New Roman" w:cs="Times New Roman"/>
          <w:sz w:val="24"/>
          <w:szCs w:val="24"/>
        </w:rPr>
        <w:t xml:space="preserve"> </w:t>
      </w:r>
      <w:r w:rsidR="00CA63D7" w:rsidRPr="004548BE">
        <w:rPr>
          <w:rFonts w:ascii="Times New Roman" w:hAnsi="Times New Roman" w:cs="Times New Roman"/>
          <w:sz w:val="24"/>
          <w:szCs w:val="24"/>
        </w:rPr>
        <w:t xml:space="preserve">rachunek zysków i strat (wariant porównawczy), </w:t>
      </w:r>
    </w:p>
    <w:p w:rsidR="00CA63D7" w:rsidRPr="004548BE" w:rsidRDefault="00564E94" w:rsidP="00904E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-</w:t>
      </w:r>
      <w:r w:rsidR="000F2C0A" w:rsidRPr="004548BE">
        <w:rPr>
          <w:rFonts w:ascii="Times New Roman" w:hAnsi="Times New Roman" w:cs="Times New Roman"/>
          <w:sz w:val="24"/>
          <w:szCs w:val="24"/>
        </w:rPr>
        <w:t xml:space="preserve"> </w:t>
      </w:r>
      <w:r w:rsidR="00CA63D7" w:rsidRPr="004548BE">
        <w:rPr>
          <w:rFonts w:ascii="Times New Roman" w:hAnsi="Times New Roman" w:cs="Times New Roman"/>
          <w:sz w:val="24"/>
          <w:szCs w:val="24"/>
        </w:rPr>
        <w:t>zestawienie zmian w funduszu jednostki</w:t>
      </w:r>
      <w:r w:rsidR="001B787C" w:rsidRPr="004548BE">
        <w:rPr>
          <w:rFonts w:ascii="Times New Roman" w:hAnsi="Times New Roman" w:cs="Times New Roman"/>
          <w:sz w:val="24"/>
          <w:szCs w:val="24"/>
        </w:rPr>
        <w:t>,</w:t>
      </w:r>
      <w:r w:rsidR="00C87A46" w:rsidRPr="00454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A46" w:rsidRPr="004548BE" w:rsidRDefault="00C87A46" w:rsidP="00904E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- dodatkowe informacje i objaśnienia</w:t>
      </w:r>
      <w:r w:rsidR="001B787C" w:rsidRPr="004548BE">
        <w:rPr>
          <w:rFonts w:ascii="Times New Roman" w:hAnsi="Times New Roman" w:cs="Times New Roman"/>
          <w:sz w:val="24"/>
          <w:szCs w:val="24"/>
        </w:rPr>
        <w:t>.</w:t>
      </w:r>
    </w:p>
    <w:p w:rsidR="00150A9B" w:rsidRPr="004548BE" w:rsidRDefault="008C48A6" w:rsidP="00855A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Sprawozdanie finansowe zostało sporządzone przy założeniu kontynuowania działalności w 201</w:t>
      </w:r>
      <w:r w:rsidR="00814DC4" w:rsidRPr="004548BE">
        <w:rPr>
          <w:rFonts w:ascii="Times New Roman" w:hAnsi="Times New Roman" w:cs="Times New Roman"/>
          <w:sz w:val="24"/>
          <w:szCs w:val="24"/>
        </w:rPr>
        <w:t>9</w:t>
      </w:r>
      <w:r w:rsidR="00855A76" w:rsidRPr="004548BE">
        <w:rPr>
          <w:rFonts w:ascii="Times New Roman" w:hAnsi="Times New Roman" w:cs="Times New Roman"/>
          <w:sz w:val="24"/>
          <w:szCs w:val="24"/>
        </w:rPr>
        <w:t xml:space="preserve"> roku. N</w:t>
      </w:r>
      <w:r w:rsidRPr="004548BE">
        <w:rPr>
          <w:rFonts w:ascii="Times New Roman" w:hAnsi="Times New Roman" w:cs="Times New Roman"/>
          <w:sz w:val="24"/>
          <w:szCs w:val="24"/>
        </w:rPr>
        <w:t xml:space="preserve">ie istnieją </w:t>
      </w:r>
      <w:r w:rsidR="00855A76" w:rsidRPr="004548BE">
        <w:rPr>
          <w:rFonts w:ascii="Times New Roman" w:hAnsi="Times New Roman" w:cs="Times New Roman"/>
          <w:sz w:val="24"/>
          <w:szCs w:val="24"/>
        </w:rPr>
        <w:t xml:space="preserve">żadne </w:t>
      </w:r>
      <w:r w:rsidRPr="004548BE">
        <w:rPr>
          <w:rFonts w:ascii="Times New Roman" w:hAnsi="Times New Roman" w:cs="Times New Roman"/>
          <w:sz w:val="24"/>
          <w:szCs w:val="24"/>
        </w:rPr>
        <w:t>okoliczności wskazujące na zagrożenie kontynuowania działalności.</w:t>
      </w:r>
    </w:p>
    <w:p w:rsidR="00B62575" w:rsidRPr="004548BE" w:rsidRDefault="00B62575" w:rsidP="00B6257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9B5" w:rsidRPr="004548BE" w:rsidRDefault="00C849B5" w:rsidP="00B6257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D6" w:rsidRPr="004548BE" w:rsidRDefault="00574CD6" w:rsidP="00B6257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D6" w:rsidRPr="004548BE" w:rsidRDefault="00574CD6" w:rsidP="00B6257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D6" w:rsidRPr="004548BE" w:rsidRDefault="00574CD6" w:rsidP="00B6257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D6" w:rsidRPr="004548BE" w:rsidRDefault="00574CD6" w:rsidP="00B6257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D6" w:rsidRPr="004548BE" w:rsidRDefault="00574CD6" w:rsidP="00B6257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D6" w:rsidRPr="004548BE" w:rsidRDefault="00574CD6" w:rsidP="00B6257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9B5" w:rsidRPr="004548BE" w:rsidRDefault="00C849B5" w:rsidP="00B6257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76" w:rsidRPr="004548BE" w:rsidRDefault="00855A76">
      <w:pPr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br w:type="page"/>
      </w:r>
    </w:p>
    <w:p w:rsidR="001C4220" w:rsidRPr="004548BE" w:rsidRDefault="00BC5E4F" w:rsidP="00CE13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METODY WYCENY AKTYWÓW I PASYWÓW</w:t>
      </w:r>
    </w:p>
    <w:p w:rsidR="00F5796A" w:rsidRPr="004548BE" w:rsidRDefault="00F5796A" w:rsidP="00F5796A">
      <w:pPr>
        <w:numPr>
          <w:ilvl w:val="0"/>
          <w:numId w:val="26"/>
        </w:numPr>
        <w:spacing w:after="120"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Odpisy amortyzacyjne (umorzeniowe) dla podstawowych środków trwałych oraz wartości niematerialnych i pra</w:t>
      </w:r>
      <w:r w:rsidR="003B5143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wnych (o wartości przekraczającej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</w:t>
      </w:r>
      <w:r w:rsidR="00814DC4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4DC4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zł) dokonuje się jednorazowo za okres całego roku obrotowego przy zastosowaniu stawek określonych w przepisach o podatku dochodowym od osób prawnych.</w:t>
      </w:r>
    </w:p>
    <w:p w:rsidR="00F5796A" w:rsidRPr="004548BE" w:rsidRDefault="00F5796A" w:rsidP="00F5796A">
      <w:pPr>
        <w:numPr>
          <w:ilvl w:val="0"/>
          <w:numId w:val="26"/>
        </w:numPr>
        <w:spacing w:after="120"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środki trwałe o wartości początkowej przekraczającej 200 zł do kwoty </w:t>
      </w:r>
      <w:r w:rsidR="00814DC4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4DC4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zł, umarza się jednorazowo poprzez spisanie w koszty w miesiącu przyjęcia </w:t>
      </w:r>
      <w:r w:rsidR="00814DC4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do używania i jednocześnie ujmuje się w ewidencji ilościowo-wartościowej na koncie 013 według ceny nabycia. W przypadku, jeżeli koszty zakupu tych środków są nieznaczne (poniżej 2% wartości), mogą być ujmowane według ceny zakupu (art. 4 ust. 4 ustawy</w:t>
      </w:r>
      <w:r w:rsidRPr="00454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4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o rachunkowości).</w:t>
      </w:r>
    </w:p>
    <w:p w:rsidR="00F5796A" w:rsidRPr="004548BE" w:rsidRDefault="00F5796A" w:rsidP="00F5796A">
      <w:pPr>
        <w:numPr>
          <w:ilvl w:val="0"/>
          <w:numId w:val="26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Zakupione pozostałe środki trwałe od kwoty 30 złotych do kwoty 200 złotych (meble, sprzęt biurowy, czajniki, obrusy itp.) ewidencjonuje się tylko ilościowo. </w:t>
      </w:r>
    </w:p>
    <w:p w:rsidR="00F5796A" w:rsidRPr="004548BE" w:rsidRDefault="00F5796A" w:rsidP="00F5796A">
      <w:pPr>
        <w:numPr>
          <w:ilvl w:val="0"/>
          <w:numId w:val="26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niemat</w:t>
      </w:r>
      <w:r w:rsidR="00516F91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erialne i prawne o wartości</w:t>
      </w:r>
      <w:r w:rsidR="00DB2DBB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przekraczającej </w:t>
      </w:r>
      <w:r w:rsidR="00814DC4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B2DBB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4DC4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B2DBB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 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umarza się </w:t>
      </w:r>
      <w:r w:rsidR="00E2141F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i amortyzuje za okres całego roku wg stawek</w:t>
      </w:r>
      <w:r w:rsidRPr="00454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5796A" w:rsidRPr="004548BE" w:rsidRDefault="00F5796A" w:rsidP="00F5796A">
      <w:pPr>
        <w:numPr>
          <w:ilvl w:val="0"/>
          <w:numId w:val="27"/>
        </w:numPr>
        <w:spacing w:after="12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licencje na programy komputerowe i prawa autorskie – 50%</w:t>
      </w:r>
      <w:r w:rsidR="00814DC4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5796A" w:rsidRPr="004548BE" w:rsidRDefault="00F5796A" w:rsidP="00F5796A">
      <w:pPr>
        <w:numPr>
          <w:ilvl w:val="0"/>
          <w:numId w:val="26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niematerialne i prawne o okresie użytkowania dłuższym niż rok, posiadające licencję lub prawa autorskie o</w:t>
      </w:r>
      <w:r w:rsidR="00C04125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raz o wartości jednostkowej do 10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4125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 włącznie, umarza się w sposób uproszczony, jednorazowo odpisując 100% ich wartości w koszty, 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miesiącu wydania do użytkowania i ewidencjonuje na koncie 020 ilościowo- wartościowo, według ceny nabycia. W przypadku, jeżeli koszty zakupu tych środków </w:t>
      </w:r>
      <w:r w:rsidR="00671207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nieznaczne (poniżej 2% wartości), mogą być ujmowane według ceny zakupu 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4 ust. 4 ustawy o rachunkowości).</w:t>
      </w:r>
    </w:p>
    <w:p w:rsidR="0058286B" w:rsidRPr="004548BE" w:rsidRDefault="0058286B" w:rsidP="0058286B">
      <w:pPr>
        <w:numPr>
          <w:ilvl w:val="0"/>
          <w:numId w:val="26"/>
        </w:numPr>
        <w:tabs>
          <w:tab w:val="clear" w:pos="540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8BE">
        <w:rPr>
          <w:rFonts w:ascii="Times New Roman" w:eastAsia="Calibri" w:hAnsi="Times New Roman" w:cs="Times New Roman"/>
          <w:sz w:val="24"/>
          <w:szCs w:val="24"/>
        </w:rPr>
        <w:t>Wartości niematerialne i prawne o rocznym lub krótszym okresie użytkowania posiadające licencję, oraz wartości niematerialne i prawne nie posiadające licencji, praw autorskich (bez względu na wartość i okres użytkowania) ewidencjonowane są tylko ilościowo w księdze ewidencji ilościowej.</w:t>
      </w:r>
    </w:p>
    <w:p w:rsidR="00F5796A" w:rsidRPr="004548BE" w:rsidRDefault="00F5796A" w:rsidP="00F5796A">
      <w:pPr>
        <w:numPr>
          <w:ilvl w:val="0"/>
          <w:numId w:val="28"/>
        </w:numPr>
        <w:tabs>
          <w:tab w:val="num" w:pos="720"/>
        </w:tabs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Jednorazowo przez spisanie w koszty w miesiącu prz</w:t>
      </w:r>
      <w:r w:rsidR="00516F91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yjęcia do używania umarzane </w:t>
      </w:r>
      <w:r w:rsidR="00671207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6F91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dydaktyczne, służące do nauczania i wychowania.</w:t>
      </w:r>
    </w:p>
    <w:p w:rsidR="00F5796A" w:rsidRPr="004548BE" w:rsidRDefault="00F5796A" w:rsidP="00F5796A">
      <w:pPr>
        <w:numPr>
          <w:ilvl w:val="0"/>
          <w:numId w:val="28"/>
        </w:numPr>
        <w:tabs>
          <w:tab w:val="num" w:pos="360"/>
          <w:tab w:val="num" w:pos="720"/>
        </w:tabs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Nowo przyjęte środki trwałe oraz wartości nie</w:t>
      </w:r>
      <w:r w:rsidR="00DB2DBB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materialne i prawne umarza się </w:t>
      </w:r>
      <w:r w:rsidR="00DB2DBB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amortyzuje począwszy od następnego miesiąca po miesiącu, w którym przyjęto </w:t>
      </w:r>
      <w:r w:rsidR="00671207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do używania.</w:t>
      </w:r>
    </w:p>
    <w:p w:rsidR="00F5796A" w:rsidRPr="004548BE" w:rsidRDefault="00F5796A" w:rsidP="00F5796A">
      <w:pPr>
        <w:numPr>
          <w:ilvl w:val="0"/>
          <w:numId w:val="28"/>
        </w:numPr>
        <w:tabs>
          <w:tab w:val="num" w:pos="360"/>
          <w:tab w:val="num" w:pos="720"/>
        </w:tabs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trwałe i wartości niematerialne i prawne na dzień bilansowy wycenione są według cen nabycia lub kosztów wytworzenia pomniejszonych o odpisy umorzeniowe.</w:t>
      </w:r>
    </w:p>
    <w:p w:rsidR="00F5796A" w:rsidRPr="004548BE" w:rsidRDefault="00F5796A" w:rsidP="00F5796A">
      <w:pPr>
        <w:numPr>
          <w:ilvl w:val="0"/>
          <w:numId w:val="28"/>
        </w:numPr>
        <w:tabs>
          <w:tab w:val="num" w:pos="360"/>
          <w:tab w:val="num" w:pos="720"/>
        </w:tabs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początkowa środków trwałych i dotychczas dokonane odpisy umorzeniowe podlegają aktualizacji wyceny zgodnie z zasadami określonymi w odrębnych przepisach, </w:t>
      </w:r>
      <w:r w:rsidR="00DB2DBB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a wyniki aktualizacji odnoszone są na fundusz jednostki.</w:t>
      </w:r>
    </w:p>
    <w:p w:rsidR="00F5796A" w:rsidRPr="004548BE" w:rsidRDefault="00F5796A" w:rsidP="00F5796A">
      <w:pPr>
        <w:numPr>
          <w:ilvl w:val="0"/>
          <w:numId w:val="28"/>
        </w:numPr>
        <w:tabs>
          <w:tab w:val="num" w:pos="360"/>
          <w:tab w:val="num" w:pos="720"/>
        </w:tabs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zakupione na bieżące potrzeby administracyjno-gospodarcze jak artykuły biurowe, środki czystości, materiały do napraw: elektryczne, hydrauliczne, części zamienne oraz</w:t>
      </w:r>
      <w:r w:rsidR="00C84F5C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wyposażenie takie jak: drobne pomoce dydaktyczne, sprzęt biurowy </w:t>
      </w:r>
      <w:r w:rsidR="00C04125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4F5C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i wyposażenie pomieszczeń (kosze na śmieci, wieszaki, zszywacze, dziurkacza, itp.)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25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4F5C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momencie zakupu odpisywane są w ciężar kosztów w pełnej ich wartości wynikającej </w:t>
      </w:r>
      <w:r w:rsidR="00C84F5C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faktur i rachunków pod datą ich zakupu. </w:t>
      </w:r>
    </w:p>
    <w:p w:rsidR="00516F91" w:rsidRPr="004548BE" w:rsidRDefault="00F5796A" w:rsidP="00516F91">
      <w:pPr>
        <w:numPr>
          <w:ilvl w:val="0"/>
          <w:numId w:val="28"/>
        </w:numPr>
        <w:tabs>
          <w:tab w:val="num" w:pos="360"/>
          <w:tab w:val="num" w:pos="720"/>
        </w:tabs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prowadzeniu kont pomocniczych dla rzeczowych składników aktywów obrotowych stosuje się metodę odpisywania w koszty wartości materiałów na dzień ich zakupu połączone z ustalaniem stanu tych składników aktywów i jego wyceny, oraz korekty kosztów o wartość tego stanu nie później niż na dzień bilansowy.</w:t>
      </w:r>
    </w:p>
    <w:p w:rsidR="00F5796A" w:rsidRPr="004548BE" w:rsidRDefault="00F5796A" w:rsidP="00F5796A">
      <w:pPr>
        <w:numPr>
          <w:ilvl w:val="0"/>
          <w:numId w:val="28"/>
        </w:numPr>
        <w:tabs>
          <w:tab w:val="num" w:pos="360"/>
          <w:tab w:val="num" w:pos="720"/>
        </w:tabs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Zbiory biblioteczne bez względu na wartość umarzane są w 100% w miesiącu przyjęcia </w:t>
      </w:r>
      <w:r w:rsidR="00C04125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używania. Zakupione zbiory ewidencjonowane są wg rzeczywistych kosztów nabycia. Zbiory darowane wyceniane są wg wartości szacunkowej ustalonej komisyjnie 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zatwierdzonej przez kierownika jednostki lub w wartości wynikającej z dokumentów przekazania darowizny. Rozchody wycenia się w wartości ewidencyjnej.</w:t>
      </w:r>
    </w:p>
    <w:p w:rsidR="00F5796A" w:rsidRPr="004548BE" w:rsidRDefault="00F5796A" w:rsidP="00F5796A">
      <w:pPr>
        <w:numPr>
          <w:ilvl w:val="0"/>
          <w:numId w:val="28"/>
        </w:numPr>
        <w:tabs>
          <w:tab w:val="num" w:pos="360"/>
          <w:tab w:val="num" w:pos="720"/>
        </w:tabs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 na dzień ich powstania wycenia się i ewidencjonuje w księgach rachunkowych według wartości nominalnej. Na koniec każdego kwartału i na dzień bilansowy wycenia się je w kwocie wymaga</w:t>
      </w:r>
      <w:r w:rsidR="003B5143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nej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zapłaty, obejmującej kwotę główną powiększoną o należne odsetki zwłoki w zapłacie – ustawowe.</w:t>
      </w:r>
    </w:p>
    <w:p w:rsidR="00F5796A" w:rsidRPr="004548BE" w:rsidRDefault="00F5796A" w:rsidP="00F5796A">
      <w:pPr>
        <w:numPr>
          <w:ilvl w:val="0"/>
          <w:numId w:val="28"/>
        </w:numPr>
        <w:tabs>
          <w:tab w:val="num" w:pos="360"/>
          <w:tab w:val="num" w:pos="720"/>
        </w:tabs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Zobowiązania mają charakter krótkoterminowy i </w:t>
      </w:r>
      <w:r w:rsidR="00DB2DBB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ujmowane są na dzień bilansowy </w:t>
      </w:r>
      <w:r w:rsidR="00DB2DBB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wymaganej zapłaty. Środki pieniężne i fundusze w bilansie wycenione są </w:t>
      </w:r>
      <w:r w:rsidR="00C04125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w wartości nominalnej.</w:t>
      </w:r>
    </w:p>
    <w:p w:rsidR="00F5796A" w:rsidRPr="004548BE" w:rsidRDefault="00F5796A" w:rsidP="00F5796A">
      <w:pPr>
        <w:numPr>
          <w:ilvl w:val="0"/>
          <w:numId w:val="28"/>
        </w:numPr>
        <w:tabs>
          <w:tab w:val="num" w:pos="720"/>
        </w:tabs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Uzyskane zwroty wydatków w tym samym roku budżetowym przyjmowane są </w:t>
      </w:r>
      <w:r w:rsidR="00C04125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rachunek bieżący wydatków i zmniejszaj</w:t>
      </w:r>
      <w:r w:rsidR="00DB2DBB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wykonanie wydatków w tym roku 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budżetowym.</w:t>
      </w:r>
    </w:p>
    <w:p w:rsidR="00F5796A" w:rsidRPr="004548BE" w:rsidRDefault="003B5143" w:rsidP="00F5796A">
      <w:pPr>
        <w:numPr>
          <w:ilvl w:val="0"/>
          <w:numId w:val="28"/>
        </w:numPr>
        <w:tabs>
          <w:tab w:val="num" w:pos="720"/>
        </w:tabs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Zwroty</w:t>
      </w:r>
      <w:r w:rsidR="00F5796A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dokonanych w poprzednich latach budżetowych przyjmowane są </w:t>
      </w:r>
      <w:r w:rsidR="00C04125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796A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rachunek dochodów i odprowadzone na dochody budżetu.</w:t>
      </w:r>
    </w:p>
    <w:p w:rsidR="00F5796A" w:rsidRPr="004548BE" w:rsidRDefault="00F5796A" w:rsidP="00F5796A">
      <w:pPr>
        <w:numPr>
          <w:ilvl w:val="0"/>
          <w:numId w:val="28"/>
        </w:numPr>
        <w:tabs>
          <w:tab w:val="num" w:pos="720"/>
        </w:tabs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Odsetki od należności niezapł</w:t>
      </w:r>
      <w:r w:rsidR="00E53459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aconych w terminie ujmowane są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księgach rachunkowych w momencie ich zapłaty lub w wysokości odsetek należnych na koniec kwartału.</w:t>
      </w:r>
    </w:p>
    <w:p w:rsidR="00F5796A" w:rsidRPr="004548BE" w:rsidRDefault="00F5796A" w:rsidP="00F5796A">
      <w:pPr>
        <w:numPr>
          <w:ilvl w:val="0"/>
          <w:numId w:val="28"/>
        </w:numPr>
        <w:tabs>
          <w:tab w:val="num" w:pos="720"/>
        </w:tabs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zasady nieistotności wyn</w:t>
      </w:r>
      <w:r w:rsidR="00E14491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ikającej z ustawy o rachunkowości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ustalenia szczególne: prenumeraty, ubezpieczenia majątkowe opłacone z góry nie podlegają rozliczeniu w czasie za pośrednictwem rozliczeń międzyokresowych kosztów, obciążają koszty miesiąca, w którym zostały poniesione chyba, że kwota w sposób istotny wpływa na wynik finansowy. Faktury za dostawy energii elektrycznej, cieplnej, wody, odprowadzenie ścieków oraz za usługi internetowe wystawiane w styczniu roku następnego, dokumentujące koszty tych usług obejmujące część grudnia roku poprzedniego, a także styczeń roku następnego, jeżeli nie wywierają istotnego ujemnego wpływu na rzetelne jasne przedstawienie sytuacji majątkowej i finansowej oraz wynik finansowy – jednostka stosuje uproszczenia (uwzględniając art. 4 us</w:t>
      </w:r>
      <w:r w:rsidR="003B5143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4 ustawy </w:t>
      </w:r>
      <w:r w:rsid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o rachunkowości) i księguje koszty w dacie otrzymania faktury.</w:t>
      </w:r>
    </w:p>
    <w:p w:rsidR="00F5796A" w:rsidRPr="004548BE" w:rsidRDefault="00F5796A" w:rsidP="003B5143">
      <w:pPr>
        <w:numPr>
          <w:ilvl w:val="0"/>
          <w:numId w:val="28"/>
        </w:numPr>
        <w:tabs>
          <w:tab w:val="num" w:pos="720"/>
        </w:tabs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kontach Zespołu 4 – „Koszty według rodzajów i ich rozliczenie” ujmuje się pod datą ostatniego dnia miesiąca zdarzenia gospodarcze dokonane w miesiącu sprawozdawczym, wynikające z dokumentów finansowych wpływających do jednost</w:t>
      </w:r>
      <w:r w:rsidR="0058286B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ki do dnia sporządzenia sprawozdania budżetowego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. Po tym terminie dokumenty finansowe dotyczące kosztów poprzedniego miesiąca ujmowane są w ewidencji księgowej w miesiącu, w którym wpłynęł</w:t>
      </w:r>
      <w:r w:rsidR="00E2141F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y do jednostki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7C00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delegacji datą dokumentu</w:t>
      </w:r>
      <w:r w:rsidR="00BA7C58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operacji</w:t>
      </w:r>
      <w:r w:rsidR="001B7C00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data przekazania do działu księgowości.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przełomie roku obrotowego pod datą 31 grudnia księgowane są dokumenty, dotyczące roku poprzedniego, których data wpływu nie jest późniejsza niż data sporządzenia sprawozdania finansowego.</w:t>
      </w:r>
    </w:p>
    <w:p w:rsidR="00F5796A" w:rsidRPr="004548BE" w:rsidRDefault="00F5796A" w:rsidP="00F77601">
      <w:pPr>
        <w:numPr>
          <w:ilvl w:val="0"/>
          <w:numId w:val="28"/>
        </w:numPr>
        <w:tabs>
          <w:tab w:val="num" w:pos="720"/>
        </w:tabs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składniki aktywów i pasywów wynikające z </w:t>
      </w:r>
      <w:r w:rsidR="00805164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ksiąg rachunkowych są</w:t>
      </w:r>
      <w:r w:rsidR="00F77601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 inwentaryzacją.</w:t>
      </w:r>
    </w:p>
    <w:p w:rsidR="00F5796A" w:rsidRPr="004548BE" w:rsidRDefault="00F5796A" w:rsidP="00F5796A">
      <w:pPr>
        <w:numPr>
          <w:ilvl w:val="0"/>
          <w:numId w:val="28"/>
        </w:numPr>
        <w:tabs>
          <w:tab w:val="num" w:pos="720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Sposoby i terminy przeprowadzania inwentaryzacji oraz zasady jej dokumentowania </w:t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rozliczania różnic inwentaryzacyjnych zawarte zostały w instrukcji inwentaryzacyjnej załącznik nr 2 do Zarządzenia nr 17 Dyrektora I Lic</w:t>
      </w:r>
      <w:r w:rsidR="003B5143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eum im T. Kościuszki w Koninie </w:t>
      </w:r>
      <w:r w:rsid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30.06.2009 r. w sprawie wprowadzenia instrukcji reg</w:t>
      </w:r>
      <w:r w:rsidR="0096786E" w:rsidRPr="004548BE">
        <w:rPr>
          <w:rFonts w:ascii="Times New Roman" w:eastAsia="Times New Roman" w:hAnsi="Times New Roman" w:cs="Times New Roman"/>
          <w:sz w:val="24"/>
          <w:szCs w:val="24"/>
          <w:lang w:eastAsia="pl-PL"/>
        </w:rPr>
        <w:t>ulujących działalność jednostki oraz w Aneksie nr 2/2014 z dn. 02.01.2014 r. dotyczącym inwentaryzacji zbiorów bibliotecznych.</w:t>
      </w:r>
    </w:p>
    <w:p w:rsidR="00B62575" w:rsidRPr="004548BE" w:rsidRDefault="00B62575" w:rsidP="00B62575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DA5" w:rsidRPr="004548BE" w:rsidRDefault="001C4220" w:rsidP="00537D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8BE">
        <w:rPr>
          <w:rFonts w:ascii="Times New Roman" w:hAnsi="Times New Roman" w:cs="Times New Roman"/>
          <w:b/>
          <w:sz w:val="24"/>
          <w:szCs w:val="24"/>
        </w:rPr>
        <w:t>II Informacje dodatkowe i objaśnienia</w:t>
      </w:r>
    </w:p>
    <w:p w:rsidR="00705F85" w:rsidRPr="004548BE" w:rsidRDefault="00671207" w:rsidP="0070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Do sprawozdań dołączono informacje szczegółowe w postaci załączników:</w:t>
      </w:r>
    </w:p>
    <w:p w:rsidR="00705F85" w:rsidRPr="004548BE" w:rsidRDefault="004548BE" w:rsidP="004548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5 Tabela 1.1. Szczegółowy zakres zmian wartości środków trwałych i wartości niematerialnych i prawnych (poz. A.I i A.II.1. bilansu)</w:t>
      </w:r>
    </w:p>
    <w:p w:rsidR="004548BE" w:rsidRPr="004548BE" w:rsidRDefault="004548BE" w:rsidP="004548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6 Tabela 1.3. Odpisy aktualizujące wartość aktywów trwałych</w:t>
      </w:r>
    </w:p>
    <w:p w:rsidR="004548BE" w:rsidRPr="004548BE" w:rsidRDefault="004548BE" w:rsidP="004548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7 Tabela 1.4. Wartość gruntów użytkowanych wieczyście</w:t>
      </w:r>
    </w:p>
    <w:p w:rsidR="004548BE" w:rsidRPr="004548BE" w:rsidRDefault="004548BE" w:rsidP="004548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 xml:space="preserve">Zał. Nr 8 Tabela 1.5. Wartość nieamortyzowanych lub nieumarzanych przez jednostkę środków trwałych, używanych na podstawie umów najmu, dzierżawy </w:t>
      </w:r>
      <w:r w:rsidRPr="004548BE">
        <w:rPr>
          <w:rFonts w:ascii="Times New Roman" w:hAnsi="Times New Roman" w:cs="Times New Roman"/>
          <w:sz w:val="24"/>
          <w:szCs w:val="24"/>
        </w:rPr>
        <w:br/>
        <w:t>i innych umów, w tym z tytułu umów leasingu</w:t>
      </w:r>
    </w:p>
    <w:p w:rsidR="004548BE" w:rsidRPr="004548BE" w:rsidRDefault="004548BE" w:rsidP="004548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 xml:space="preserve">Zał. Nr 9 Tabela 1.6. Wartość posiadanych papierów wartościowych, w tym akcji </w:t>
      </w:r>
      <w:r w:rsidRPr="004548BE">
        <w:rPr>
          <w:rFonts w:ascii="Times New Roman" w:hAnsi="Times New Roman" w:cs="Times New Roman"/>
          <w:sz w:val="24"/>
          <w:szCs w:val="24"/>
        </w:rPr>
        <w:br/>
        <w:t>i udziałów oraz dłużnych papierów wartościowych</w:t>
      </w:r>
    </w:p>
    <w:p w:rsidR="004548BE" w:rsidRPr="004548BE" w:rsidRDefault="004548BE" w:rsidP="004548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10 Tabela 1.7. Odpisy aktualizujące wartość należności</w:t>
      </w:r>
    </w:p>
    <w:p w:rsidR="004548BE" w:rsidRPr="004548BE" w:rsidRDefault="004548BE" w:rsidP="004548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11 Tabela 1.8. Dane o stanie rezerw</w:t>
      </w:r>
    </w:p>
    <w:p w:rsidR="004548BE" w:rsidRPr="004548BE" w:rsidRDefault="004548BE" w:rsidP="004548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12 Tabela 1.15. Kwota wypłaconych środków pieniężnych na świadczenia pracownicze</w:t>
      </w:r>
    </w:p>
    <w:p w:rsidR="004548BE" w:rsidRPr="004548BE" w:rsidRDefault="004548BE" w:rsidP="004548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13 Tabela 2.1. Odpisy aktualizujące wartość zapasów</w:t>
      </w:r>
    </w:p>
    <w:p w:rsidR="004548BE" w:rsidRPr="004548BE" w:rsidRDefault="004548BE" w:rsidP="004548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14 Tabela 2.2. Koszt wytworzenia środków trwałych w budowie, w tym odsetek oraz różnice kursowe, które powiększyły koszt wytworzenia środków  trwałych w budowie w roku obrotowym</w:t>
      </w:r>
    </w:p>
    <w:p w:rsidR="004548BE" w:rsidRPr="004548BE" w:rsidRDefault="004548BE" w:rsidP="004548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15 Wzajemnie należności i zobowiązania występujące między jednostkami budżetowymi i budżetem JST Miasta Konina</w:t>
      </w:r>
    </w:p>
    <w:p w:rsidR="004548BE" w:rsidRPr="004548BE" w:rsidRDefault="004548BE" w:rsidP="004548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16 Informacja o przeprowadzeniu inwentaryzacji</w:t>
      </w:r>
    </w:p>
    <w:p w:rsidR="004548BE" w:rsidRPr="004548BE" w:rsidRDefault="004548BE" w:rsidP="004548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17 Protokół z inwentaryzacji kasy sporządzony na dzień 31.12.2018 r.</w:t>
      </w:r>
    </w:p>
    <w:p w:rsidR="004548BE" w:rsidRPr="004548BE" w:rsidRDefault="004548BE" w:rsidP="004548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18 Protokół weryfikacji salda należności z tytułu dostaw i usług sporządzony na dzień 31.12.2018 r.</w:t>
      </w:r>
    </w:p>
    <w:p w:rsidR="004548BE" w:rsidRPr="004548BE" w:rsidRDefault="004548BE" w:rsidP="004548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19 Protokół weryfikacji salda należności od budżetów sporządzony na dzień 31.12.2018 r.</w:t>
      </w:r>
    </w:p>
    <w:p w:rsidR="004548BE" w:rsidRPr="004548BE" w:rsidRDefault="004548BE" w:rsidP="004548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20 Protokół weryfikacji salda należności z tytułu ubezpieczeń i innych świadczeń sporządzony na dzień 31.12.2018 r.</w:t>
      </w:r>
    </w:p>
    <w:p w:rsidR="004548BE" w:rsidRPr="004548BE" w:rsidRDefault="004548BE" w:rsidP="004548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21 Protokół weryfikacji salda pozostałych należności sporządzony na dzień</w:t>
      </w:r>
    </w:p>
    <w:p w:rsidR="004548BE" w:rsidRPr="004548BE" w:rsidRDefault="004548BE" w:rsidP="004548B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31.12.2018 r.</w:t>
      </w:r>
    </w:p>
    <w:p w:rsidR="004548BE" w:rsidRPr="004548BE" w:rsidRDefault="004548BE" w:rsidP="004548B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22 Protokół weryfikacji salda Zobowiązań z tytułu dostaw i usług sporządzony na dzień 31.12.2018 r.</w:t>
      </w:r>
    </w:p>
    <w:p w:rsidR="004548BE" w:rsidRPr="004548BE" w:rsidRDefault="004548BE" w:rsidP="004548B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23 Protokół weryfikacji salda zobowiązań wobec budżetów i z tytułu ubezpieczeń społecznych sporządzony na dzień 31.12.2018 r.</w:t>
      </w:r>
    </w:p>
    <w:p w:rsidR="004548BE" w:rsidRPr="004548BE" w:rsidRDefault="004548BE" w:rsidP="004548B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24 Protokół weryfikacji salda zobowiązań z tytułu wynagrodzeń sporządzony na dzień 31.12.2018 r.</w:t>
      </w:r>
    </w:p>
    <w:p w:rsidR="004548BE" w:rsidRPr="004548BE" w:rsidRDefault="004548BE" w:rsidP="004548B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25 Protokół weryfikacji salda zobowiązań z tytułu pozostałych zobowiązań sporządzony na dzień 31.12.2018 r.</w:t>
      </w:r>
    </w:p>
    <w:p w:rsidR="004548BE" w:rsidRPr="004548BE" w:rsidRDefault="004548BE" w:rsidP="004548B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26 Protokół weryfikacji aktywów i pasywów na dzień 31.12.2018r.</w:t>
      </w:r>
    </w:p>
    <w:p w:rsidR="004548BE" w:rsidRPr="004548BE" w:rsidRDefault="004548BE" w:rsidP="004548B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27 Zestawienie obrotów i sald kont syntetycznych w podziale na konta bilansowe i konta pozabilansowe na dzień 31.12.2018 r.</w:t>
      </w:r>
    </w:p>
    <w:p w:rsidR="004548BE" w:rsidRPr="004548BE" w:rsidRDefault="004548BE" w:rsidP="004548B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>Zał. Nr 28 Kserokopia wyciągów bankowych z ostatniego dnia, ostatniego miesiąca okresu sprawozdawczego.</w:t>
      </w:r>
    </w:p>
    <w:p w:rsidR="004548BE" w:rsidRPr="004548BE" w:rsidRDefault="004548BE" w:rsidP="004548B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548BE">
        <w:rPr>
          <w:rFonts w:ascii="Times New Roman" w:hAnsi="Times New Roman" w:cs="Times New Roman"/>
          <w:sz w:val="24"/>
          <w:szCs w:val="24"/>
        </w:rPr>
        <w:t xml:space="preserve">Zał. Nr 29 Informacja o stanie zatrudnienia na koniec roku obrotowego, </w:t>
      </w:r>
      <w:r w:rsidRPr="004548BE">
        <w:rPr>
          <w:rFonts w:ascii="Times New Roman" w:hAnsi="Times New Roman" w:cs="Times New Roman"/>
          <w:sz w:val="24"/>
          <w:szCs w:val="24"/>
        </w:rPr>
        <w:br/>
        <w:t>w przeliczeniu na pełne etaty.</w:t>
      </w:r>
    </w:p>
    <w:sectPr w:rsidR="004548BE" w:rsidRPr="004548BE" w:rsidSect="008D0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D6" w:rsidRDefault="006951D6" w:rsidP="004548BE">
      <w:pPr>
        <w:spacing w:after="0" w:line="240" w:lineRule="auto"/>
      </w:pPr>
      <w:r>
        <w:separator/>
      </w:r>
    </w:p>
  </w:endnote>
  <w:endnote w:type="continuationSeparator" w:id="0">
    <w:p w:rsidR="006951D6" w:rsidRDefault="006951D6" w:rsidP="0045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D6" w:rsidRDefault="006951D6" w:rsidP="004548BE">
      <w:pPr>
        <w:spacing w:after="0" w:line="240" w:lineRule="auto"/>
      </w:pPr>
      <w:r>
        <w:separator/>
      </w:r>
    </w:p>
  </w:footnote>
  <w:footnote w:type="continuationSeparator" w:id="0">
    <w:p w:rsidR="006951D6" w:rsidRDefault="006951D6" w:rsidP="0045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BE" w:rsidRDefault="004548BE">
    <w:pPr>
      <w:pStyle w:val="Nagwek"/>
    </w:pPr>
    <w:r>
      <w:tab/>
    </w:r>
    <w:r>
      <w:tab/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0E9"/>
    <w:multiLevelType w:val="hybridMultilevel"/>
    <w:tmpl w:val="1D1E87AA"/>
    <w:lvl w:ilvl="0" w:tplc="05BA2126">
      <w:start w:val="1"/>
      <w:numFmt w:val="lowerLetter"/>
      <w:lvlText w:val="%1)"/>
      <w:lvlJc w:val="left"/>
      <w:pPr>
        <w:tabs>
          <w:tab w:val="num" w:pos="2290"/>
        </w:tabs>
        <w:ind w:left="2290" w:hanging="360"/>
      </w:pPr>
    </w:lvl>
    <w:lvl w:ilvl="1" w:tplc="E7C29794">
      <w:start w:val="25"/>
      <w:numFmt w:val="decimal"/>
      <w:lvlText w:val="%2."/>
      <w:lvlJc w:val="left"/>
      <w:pPr>
        <w:tabs>
          <w:tab w:val="num" w:pos="1856"/>
        </w:tabs>
        <w:ind w:left="1856" w:hanging="35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D5487"/>
    <w:multiLevelType w:val="hybridMultilevel"/>
    <w:tmpl w:val="239A544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31444B1"/>
    <w:multiLevelType w:val="hybridMultilevel"/>
    <w:tmpl w:val="E51606A6"/>
    <w:lvl w:ilvl="0" w:tplc="6E50868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DE7B8E"/>
    <w:multiLevelType w:val="hybridMultilevel"/>
    <w:tmpl w:val="654A4F9E"/>
    <w:lvl w:ilvl="0" w:tplc="17E4D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64069"/>
    <w:multiLevelType w:val="hybridMultilevel"/>
    <w:tmpl w:val="A92A4B62"/>
    <w:lvl w:ilvl="0" w:tplc="437C56B8">
      <w:start w:val="2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413AE41E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1077610B"/>
    <w:multiLevelType w:val="hybridMultilevel"/>
    <w:tmpl w:val="B65C5AF0"/>
    <w:lvl w:ilvl="0" w:tplc="2036436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51D3F68"/>
    <w:multiLevelType w:val="hybridMultilevel"/>
    <w:tmpl w:val="6EC62A4E"/>
    <w:lvl w:ilvl="0" w:tplc="A4F0FCC4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95CB3"/>
    <w:multiLevelType w:val="hybridMultilevel"/>
    <w:tmpl w:val="5CC0A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E1067"/>
    <w:multiLevelType w:val="multilevel"/>
    <w:tmpl w:val="F4CAA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DD50CA"/>
    <w:multiLevelType w:val="hybridMultilevel"/>
    <w:tmpl w:val="55FE73B4"/>
    <w:lvl w:ilvl="0" w:tplc="E5BC067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716DC"/>
    <w:multiLevelType w:val="hybridMultilevel"/>
    <w:tmpl w:val="71AEC3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66358"/>
    <w:multiLevelType w:val="hybridMultilevel"/>
    <w:tmpl w:val="71AEC3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168C9"/>
    <w:multiLevelType w:val="hybridMultilevel"/>
    <w:tmpl w:val="8904CB7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0E42C3"/>
    <w:multiLevelType w:val="hybridMultilevel"/>
    <w:tmpl w:val="F1722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105D1"/>
    <w:multiLevelType w:val="hybridMultilevel"/>
    <w:tmpl w:val="BC1AE416"/>
    <w:lvl w:ilvl="0" w:tplc="05BA2126">
      <w:start w:val="1"/>
      <w:numFmt w:val="lowerLetter"/>
      <w:lvlText w:val="%1)"/>
      <w:lvlJc w:val="left"/>
      <w:pPr>
        <w:tabs>
          <w:tab w:val="num" w:pos="2290"/>
        </w:tabs>
        <w:ind w:left="22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B221B"/>
    <w:multiLevelType w:val="multilevel"/>
    <w:tmpl w:val="20F6C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5A22518"/>
    <w:multiLevelType w:val="hybridMultilevel"/>
    <w:tmpl w:val="9B2EC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AD4160"/>
    <w:multiLevelType w:val="hybridMultilevel"/>
    <w:tmpl w:val="02165820"/>
    <w:lvl w:ilvl="0" w:tplc="20364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C48C0"/>
    <w:multiLevelType w:val="hybridMultilevel"/>
    <w:tmpl w:val="AB6A7A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1015C99"/>
    <w:multiLevelType w:val="hybridMultilevel"/>
    <w:tmpl w:val="782E1DF4"/>
    <w:lvl w:ilvl="0" w:tplc="6A722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6319AA"/>
    <w:multiLevelType w:val="hybridMultilevel"/>
    <w:tmpl w:val="9E94FAD8"/>
    <w:lvl w:ilvl="0" w:tplc="1ECA80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DF64CD"/>
    <w:multiLevelType w:val="hybridMultilevel"/>
    <w:tmpl w:val="85D495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E094B"/>
    <w:multiLevelType w:val="multilevel"/>
    <w:tmpl w:val="BBCC3226"/>
    <w:lvl w:ilvl="0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3">
    <w:nsid w:val="59C22EA8"/>
    <w:multiLevelType w:val="hybridMultilevel"/>
    <w:tmpl w:val="3E3841A6"/>
    <w:lvl w:ilvl="0" w:tplc="8ED6529C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D07A3"/>
    <w:multiLevelType w:val="hybridMultilevel"/>
    <w:tmpl w:val="63343B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6464F5"/>
    <w:multiLevelType w:val="multilevel"/>
    <w:tmpl w:val="B1CEC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1181925"/>
    <w:multiLevelType w:val="hybridMultilevel"/>
    <w:tmpl w:val="E8DCD3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84496"/>
    <w:multiLevelType w:val="hybridMultilevel"/>
    <w:tmpl w:val="B92A1F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44730"/>
    <w:multiLevelType w:val="multilevel"/>
    <w:tmpl w:val="7E669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D1503C4"/>
    <w:multiLevelType w:val="hybridMultilevel"/>
    <w:tmpl w:val="5D145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85E4A"/>
    <w:multiLevelType w:val="hybridMultilevel"/>
    <w:tmpl w:val="0D3C3720"/>
    <w:lvl w:ilvl="0" w:tplc="14A2F2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2663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8A4AD7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FC37E6"/>
    <w:multiLevelType w:val="multilevel"/>
    <w:tmpl w:val="31D4D8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2">
    <w:nsid w:val="756F71DD"/>
    <w:multiLevelType w:val="hybridMultilevel"/>
    <w:tmpl w:val="2CC293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529D6"/>
    <w:multiLevelType w:val="hybridMultilevel"/>
    <w:tmpl w:val="12E0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5645A"/>
    <w:multiLevelType w:val="hybridMultilevel"/>
    <w:tmpl w:val="3E7C9A00"/>
    <w:lvl w:ilvl="0" w:tplc="127444C8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4"/>
  </w:num>
  <w:num w:numId="4">
    <w:abstractNumId w:val="19"/>
  </w:num>
  <w:num w:numId="5">
    <w:abstractNumId w:val="5"/>
  </w:num>
  <w:num w:numId="6">
    <w:abstractNumId w:val="1"/>
  </w:num>
  <w:num w:numId="7">
    <w:abstractNumId w:val="27"/>
  </w:num>
  <w:num w:numId="8">
    <w:abstractNumId w:val="3"/>
  </w:num>
  <w:num w:numId="9">
    <w:abstractNumId w:val="31"/>
  </w:num>
  <w:num w:numId="10">
    <w:abstractNumId w:val="22"/>
  </w:num>
  <w:num w:numId="11">
    <w:abstractNumId w:val="26"/>
  </w:num>
  <w:num w:numId="12">
    <w:abstractNumId w:val="32"/>
  </w:num>
  <w:num w:numId="13">
    <w:abstractNumId w:val="21"/>
  </w:num>
  <w:num w:numId="14">
    <w:abstractNumId w:val="28"/>
  </w:num>
  <w:num w:numId="15">
    <w:abstractNumId w:val="11"/>
  </w:num>
  <w:num w:numId="16">
    <w:abstractNumId w:val="2"/>
  </w:num>
  <w:num w:numId="17">
    <w:abstractNumId w:val="23"/>
  </w:num>
  <w:num w:numId="18">
    <w:abstractNumId w:val="34"/>
  </w:num>
  <w:num w:numId="19">
    <w:abstractNumId w:val="10"/>
  </w:num>
  <w:num w:numId="20">
    <w:abstractNumId w:val="9"/>
  </w:num>
  <w:num w:numId="21">
    <w:abstractNumId w:val="25"/>
  </w:num>
  <w:num w:numId="22">
    <w:abstractNumId w:val="8"/>
  </w:num>
  <w:num w:numId="23">
    <w:abstractNumId w:val="15"/>
  </w:num>
  <w:num w:numId="24">
    <w:abstractNumId w:val="12"/>
  </w:num>
  <w:num w:numId="25">
    <w:abstractNumId w:val="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24"/>
  </w:num>
  <w:num w:numId="34">
    <w:abstractNumId w:val="33"/>
  </w:num>
  <w:num w:numId="35">
    <w:abstractNumId w:val="16"/>
  </w:num>
  <w:num w:numId="36">
    <w:abstractNumId w:val="18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73EC"/>
    <w:rsid w:val="00053DA3"/>
    <w:rsid w:val="00064600"/>
    <w:rsid w:val="000803B8"/>
    <w:rsid w:val="000A2690"/>
    <w:rsid w:val="000E1D14"/>
    <w:rsid w:val="000F2C0A"/>
    <w:rsid w:val="000F736F"/>
    <w:rsid w:val="00112BE9"/>
    <w:rsid w:val="00150A9B"/>
    <w:rsid w:val="00156912"/>
    <w:rsid w:val="001711A1"/>
    <w:rsid w:val="00181F97"/>
    <w:rsid w:val="001B787C"/>
    <w:rsid w:val="001B7C00"/>
    <w:rsid w:val="001C2CF5"/>
    <w:rsid w:val="001C4220"/>
    <w:rsid w:val="001D7E2A"/>
    <w:rsid w:val="001F4879"/>
    <w:rsid w:val="002069E5"/>
    <w:rsid w:val="002126D0"/>
    <w:rsid w:val="00225508"/>
    <w:rsid w:val="00234B7F"/>
    <w:rsid w:val="002374C0"/>
    <w:rsid w:val="00242BBD"/>
    <w:rsid w:val="002432DE"/>
    <w:rsid w:val="00246AF4"/>
    <w:rsid w:val="00253D95"/>
    <w:rsid w:val="00262C26"/>
    <w:rsid w:val="002F6EB9"/>
    <w:rsid w:val="00316F0D"/>
    <w:rsid w:val="003210FF"/>
    <w:rsid w:val="00367542"/>
    <w:rsid w:val="00374430"/>
    <w:rsid w:val="003A66A1"/>
    <w:rsid w:val="003B5143"/>
    <w:rsid w:val="003B6E30"/>
    <w:rsid w:val="003C0B82"/>
    <w:rsid w:val="003C3163"/>
    <w:rsid w:val="003E1CF6"/>
    <w:rsid w:val="00400D9E"/>
    <w:rsid w:val="004017EA"/>
    <w:rsid w:val="004317C1"/>
    <w:rsid w:val="004548BE"/>
    <w:rsid w:val="00454B56"/>
    <w:rsid w:val="00460A51"/>
    <w:rsid w:val="00463560"/>
    <w:rsid w:val="00466497"/>
    <w:rsid w:val="00467B7F"/>
    <w:rsid w:val="004704B4"/>
    <w:rsid w:val="00471D84"/>
    <w:rsid w:val="00480B60"/>
    <w:rsid w:val="004A028A"/>
    <w:rsid w:val="004A6D00"/>
    <w:rsid w:val="004C546C"/>
    <w:rsid w:val="00516F91"/>
    <w:rsid w:val="00520A0F"/>
    <w:rsid w:val="00537DA5"/>
    <w:rsid w:val="00542A43"/>
    <w:rsid w:val="00564E94"/>
    <w:rsid w:val="005704C0"/>
    <w:rsid w:val="00574CD6"/>
    <w:rsid w:val="0058286B"/>
    <w:rsid w:val="00584039"/>
    <w:rsid w:val="00592FC0"/>
    <w:rsid w:val="005B4865"/>
    <w:rsid w:val="005B4CB6"/>
    <w:rsid w:val="005C5971"/>
    <w:rsid w:val="005E4B33"/>
    <w:rsid w:val="00600CE4"/>
    <w:rsid w:val="00605205"/>
    <w:rsid w:val="0061500D"/>
    <w:rsid w:val="00625ED7"/>
    <w:rsid w:val="00626B71"/>
    <w:rsid w:val="00671207"/>
    <w:rsid w:val="006951D6"/>
    <w:rsid w:val="0069573A"/>
    <w:rsid w:val="006A16B5"/>
    <w:rsid w:val="006A4719"/>
    <w:rsid w:val="006B0223"/>
    <w:rsid w:val="006C63F0"/>
    <w:rsid w:val="006D2557"/>
    <w:rsid w:val="006E24D5"/>
    <w:rsid w:val="006E7621"/>
    <w:rsid w:val="006E76E9"/>
    <w:rsid w:val="00705F85"/>
    <w:rsid w:val="00732370"/>
    <w:rsid w:val="0073525B"/>
    <w:rsid w:val="00761A5B"/>
    <w:rsid w:val="007D48DA"/>
    <w:rsid w:val="007E0D5E"/>
    <w:rsid w:val="0080195E"/>
    <w:rsid w:val="00805164"/>
    <w:rsid w:val="00814DC4"/>
    <w:rsid w:val="00820823"/>
    <w:rsid w:val="008320B2"/>
    <w:rsid w:val="00840123"/>
    <w:rsid w:val="00841AF5"/>
    <w:rsid w:val="00853A1C"/>
    <w:rsid w:val="00855A76"/>
    <w:rsid w:val="008653CC"/>
    <w:rsid w:val="00881FFB"/>
    <w:rsid w:val="00893D26"/>
    <w:rsid w:val="008B16DC"/>
    <w:rsid w:val="008B5799"/>
    <w:rsid w:val="008C48A6"/>
    <w:rsid w:val="008C5120"/>
    <w:rsid w:val="008C7122"/>
    <w:rsid w:val="008D0153"/>
    <w:rsid w:val="008D4F54"/>
    <w:rsid w:val="008D6856"/>
    <w:rsid w:val="008E2ADC"/>
    <w:rsid w:val="00904EE1"/>
    <w:rsid w:val="00926440"/>
    <w:rsid w:val="009454E2"/>
    <w:rsid w:val="00955B13"/>
    <w:rsid w:val="0096786E"/>
    <w:rsid w:val="00973773"/>
    <w:rsid w:val="009A3E88"/>
    <w:rsid w:val="009D243D"/>
    <w:rsid w:val="009F434E"/>
    <w:rsid w:val="00A05807"/>
    <w:rsid w:val="00A273EC"/>
    <w:rsid w:val="00A453C6"/>
    <w:rsid w:val="00A54644"/>
    <w:rsid w:val="00AB6569"/>
    <w:rsid w:val="00AE05B0"/>
    <w:rsid w:val="00AF60B7"/>
    <w:rsid w:val="00AF617B"/>
    <w:rsid w:val="00B126F7"/>
    <w:rsid w:val="00B211AE"/>
    <w:rsid w:val="00B2139C"/>
    <w:rsid w:val="00B24EFB"/>
    <w:rsid w:val="00B26319"/>
    <w:rsid w:val="00B275B4"/>
    <w:rsid w:val="00B44BCA"/>
    <w:rsid w:val="00B51159"/>
    <w:rsid w:val="00B54EF8"/>
    <w:rsid w:val="00B56A90"/>
    <w:rsid w:val="00B62575"/>
    <w:rsid w:val="00B651AD"/>
    <w:rsid w:val="00B71334"/>
    <w:rsid w:val="00B82A8B"/>
    <w:rsid w:val="00B91BB6"/>
    <w:rsid w:val="00BA3E2A"/>
    <w:rsid w:val="00BA7C58"/>
    <w:rsid w:val="00BB117F"/>
    <w:rsid w:val="00BC5E4F"/>
    <w:rsid w:val="00BF38D2"/>
    <w:rsid w:val="00C04125"/>
    <w:rsid w:val="00C206C2"/>
    <w:rsid w:val="00C849B5"/>
    <w:rsid w:val="00C84F5C"/>
    <w:rsid w:val="00C86AEA"/>
    <w:rsid w:val="00C87A46"/>
    <w:rsid w:val="00C94937"/>
    <w:rsid w:val="00CA185D"/>
    <w:rsid w:val="00CA2959"/>
    <w:rsid w:val="00CA63D7"/>
    <w:rsid w:val="00CE1381"/>
    <w:rsid w:val="00CF15D3"/>
    <w:rsid w:val="00D007A9"/>
    <w:rsid w:val="00D00A8B"/>
    <w:rsid w:val="00D123FC"/>
    <w:rsid w:val="00D176FD"/>
    <w:rsid w:val="00D24AE7"/>
    <w:rsid w:val="00D3079D"/>
    <w:rsid w:val="00D43C18"/>
    <w:rsid w:val="00D97D77"/>
    <w:rsid w:val="00DA2B46"/>
    <w:rsid w:val="00DA51EB"/>
    <w:rsid w:val="00DB2DBB"/>
    <w:rsid w:val="00DD0FBA"/>
    <w:rsid w:val="00DF5E41"/>
    <w:rsid w:val="00E03DE4"/>
    <w:rsid w:val="00E07B24"/>
    <w:rsid w:val="00E14491"/>
    <w:rsid w:val="00E153BB"/>
    <w:rsid w:val="00E2141F"/>
    <w:rsid w:val="00E32FF8"/>
    <w:rsid w:val="00E33AC0"/>
    <w:rsid w:val="00E51675"/>
    <w:rsid w:val="00E5342E"/>
    <w:rsid w:val="00E53459"/>
    <w:rsid w:val="00EA122B"/>
    <w:rsid w:val="00EA1654"/>
    <w:rsid w:val="00EB31F1"/>
    <w:rsid w:val="00F445CA"/>
    <w:rsid w:val="00F51C15"/>
    <w:rsid w:val="00F5796A"/>
    <w:rsid w:val="00F65A98"/>
    <w:rsid w:val="00F77601"/>
    <w:rsid w:val="00F8418B"/>
    <w:rsid w:val="00FB3D13"/>
    <w:rsid w:val="00FC61C0"/>
    <w:rsid w:val="00FD1E52"/>
    <w:rsid w:val="00FD5944"/>
    <w:rsid w:val="00FE266A"/>
    <w:rsid w:val="00FE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3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1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5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8BE"/>
  </w:style>
  <w:style w:type="paragraph" w:styleId="Stopka">
    <w:name w:val="footer"/>
    <w:basedOn w:val="Normalny"/>
    <w:link w:val="StopkaZnak"/>
    <w:uiPriority w:val="99"/>
    <w:semiHidden/>
    <w:unhideWhenUsed/>
    <w:rsid w:val="0045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4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3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Magda</cp:lastModifiedBy>
  <cp:revision>2</cp:revision>
  <cp:lastPrinted>2019-01-28T07:07:00Z</cp:lastPrinted>
  <dcterms:created xsi:type="dcterms:W3CDTF">2019-05-07T08:13:00Z</dcterms:created>
  <dcterms:modified xsi:type="dcterms:W3CDTF">2019-05-07T08:13:00Z</dcterms:modified>
</cp:coreProperties>
</file>